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560FD" w14:textId="77777777" w:rsidR="00CA66EE" w:rsidRDefault="00B579C8">
      <w:pPr>
        <w:spacing w:after="80"/>
      </w:pPr>
      <w:r>
        <w:rPr>
          <w:b/>
          <w:bCs/>
          <w:sz w:val="28"/>
          <w:szCs w:val="28"/>
        </w:rPr>
        <w:t>Annual Responsible Sourcing &amp; Human Rights Report</w:t>
      </w:r>
    </w:p>
    <w:p w14:paraId="7C06BF2B" w14:textId="1ADF4450" w:rsidR="00CA66EE" w:rsidRDefault="00890A37">
      <w:pPr>
        <w:spacing w:after="80"/>
      </w:pPr>
      <w:r>
        <w:rPr>
          <w:b/>
          <w:bCs/>
          <w:sz w:val="22"/>
          <w:szCs w:val="22"/>
        </w:rPr>
        <w:t>Ostbye &amp; Anderson</w:t>
      </w:r>
      <w:r w:rsidR="004F6332">
        <w:rPr>
          <w:b/>
          <w:bCs/>
          <w:sz w:val="22"/>
          <w:szCs w:val="22"/>
        </w:rPr>
        <w:t xml:space="preserve"> Inc.</w:t>
      </w:r>
    </w:p>
    <w:p w14:paraId="29E0DF2A" w14:textId="790FDDFB" w:rsidR="00CA66EE" w:rsidRDefault="00B579C8">
      <w:pPr>
        <w:spacing w:after="60"/>
      </w:pPr>
      <w:r>
        <w:t xml:space="preserve">Reporting Period: </w:t>
      </w:r>
      <w:proofErr w:type="gramStart"/>
      <w:r>
        <w:t>2026  |</w:t>
      </w:r>
      <w:proofErr w:type="gramEnd"/>
      <w:r>
        <w:t xml:space="preserve">  Date of Issue: </w:t>
      </w:r>
      <w:r w:rsidR="00890A37">
        <w:t>August</w:t>
      </w:r>
      <w:r>
        <w:t xml:space="preserve"> 2026</w:t>
      </w:r>
    </w:p>
    <w:p w14:paraId="32DE228E" w14:textId="77777777" w:rsidR="00CA66EE" w:rsidRDefault="00B579C8">
      <w:pPr>
        <w:spacing w:after="60"/>
      </w:pPr>
      <w:r>
        <w:t>Applicable Standards: RJC Code of Practices (COP) 2024 &amp; Laboratory Grown Materials Standard (LGMS)</w:t>
      </w:r>
    </w:p>
    <w:p w14:paraId="61AB5260" w14:textId="4C8B7848" w:rsidR="00CA66EE" w:rsidRDefault="00B579C8">
      <w:pPr>
        <w:pStyle w:val="Heading1"/>
        <w:pBdr>
          <w:bottom w:val="single" w:sz="6" w:space="4" w:color="000000"/>
        </w:pBdr>
      </w:pPr>
      <w:r>
        <w:t>1. Introduction and Commitment</w:t>
      </w:r>
    </w:p>
    <w:p w14:paraId="0484181A" w14:textId="024C5F99" w:rsidR="00CA66EE" w:rsidRDefault="00890A37">
      <w:r>
        <w:t>Ostbye &amp; Anderson</w:t>
      </w:r>
      <w:r w:rsidR="004F6332">
        <w:t xml:space="preserve"> Inc.</w:t>
      </w:r>
      <w:r>
        <w:t xml:space="preserve"> (hereinafter referred to as “the Company”) is a jewelry manufacturer and wholesaler with operations in Minneapolis, United States. The Company is an RJC member with certifications against the RJC Code of Practices (COP) and the Laboratory Grown Materials Standard (LGMS)</w:t>
      </w:r>
      <w:r>
        <w:rPr>
          <w:rStyle w:val="FootnoteReference"/>
        </w:rPr>
        <w:footnoteReference w:id="1"/>
      </w:r>
      <w:r>
        <w:t>.</w:t>
      </w:r>
    </w:p>
    <w:p w14:paraId="5A9D4E26" w14:textId="77777777" w:rsidR="00CA66EE" w:rsidRDefault="00B579C8">
      <w:r>
        <w:t xml:space="preserve">The Company is committed to conducting its business responsibly, respecting human rights across its own operations and supply chain, and ensuring that the materials it sources do not contribute to conflict, human rights </w:t>
      </w:r>
      <w:proofErr w:type="gramStart"/>
      <w:r>
        <w:t>abuses</w:t>
      </w:r>
      <w:proofErr w:type="gramEnd"/>
      <w:r>
        <w:t xml:space="preserve"> or other adverse social impacts. These commitments are set out in the Company’s Responsible Business Practices Policy, which has been endorsed by senior management and is publicly available.</w:t>
      </w:r>
    </w:p>
    <w:p w14:paraId="5FCBE431" w14:textId="77777777" w:rsidR="00CA66EE" w:rsidRDefault="00B579C8">
      <w:r>
        <w:t>This report satisfies the annual public reporting requirements of COP/LGMS 3.1a, COP/LGMS 6.1g and COP/LGMS 7 / OECD Step 5, and covers activities undertaken during 2026.</w:t>
      </w:r>
    </w:p>
    <w:p w14:paraId="2BFE0438" w14:textId="77777777" w:rsidR="00CA66EE" w:rsidRDefault="00B579C8">
      <w:pPr>
        <w:pStyle w:val="Heading1"/>
        <w:pBdr>
          <w:bottom w:val="single" w:sz="6" w:space="4" w:color="000000"/>
        </w:pBdr>
      </w:pPr>
      <w:r>
        <w:t>2. Management Systems</w:t>
      </w:r>
    </w:p>
    <w:p w14:paraId="4AF498B5" w14:textId="77777777" w:rsidR="00CA66EE" w:rsidRDefault="00B579C8">
      <w:r>
        <w:t>The following management system elements are maintained to support the Company’s human rights and supply chain due diligence obligations:</w:t>
      </w:r>
    </w:p>
    <w:p w14:paraId="249332B8" w14:textId="77777777" w:rsidR="00CA66EE" w:rsidRDefault="00B579C8">
      <w:pPr>
        <w:pStyle w:val="ListParagraph"/>
        <w:numPr>
          <w:ilvl w:val="0"/>
          <w:numId w:val="2"/>
        </w:numPr>
      </w:pPr>
      <w:r>
        <w:t>A Responsible Business Practices Policy setting out the Company’s commitments on human rights, responsible sourcing and ethical business conduct, publicly available on the Company’s website.</w:t>
      </w:r>
    </w:p>
    <w:p w14:paraId="3E0D83F3" w14:textId="2F9DC6D1" w:rsidR="00CA66EE" w:rsidRDefault="00B579C8">
      <w:pPr>
        <w:pStyle w:val="ListParagraph"/>
        <w:numPr>
          <w:ilvl w:val="0"/>
          <w:numId w:val="2"/>
        </w:numPr>
      </w:pPr>
      <w:r>
        <w:t>Defined roles and responsibilities</w:t>
      </w:r>
      <w:r w:rsidR="00033099">
        <w:t>.</w:t>
      </w:r>
    </w:p>
    <w:p w14:paraId="278BE994" w14:textId="1B10517F" w:rsidR="00CA66EE" w:rsidRDefault="00B579C8">
      <w:pPr>
        <w:pStyle w:val="ListParagraph"/>
        <w:numPr>
          <w:ilvl w:val="0"/>
          <w:numId w:val="2"/>
        </w:numPr>
      </w:pPr>
      <w:r>
        <w:t>A Human Rights &amp; Supply Chain Due Diligence Procedure, documenting the step-by-step approach to identifying, assessing and responding to risks.</w:t>
      </w:r>
    </w:p>
    <w:p w14:paraId="3D8CA69C" w14:textId="77777777" w:rsidR="00CA66EE" w:rsidRDefault="00B579C8">
      <w:pPr>
        <w:pStyle w:val="ListParagraph"/>
        <w:numPr>
          <w:ilvl w:val="0"/>
          <w:numId w:val="2"/>
        </w:numPr>
      </w:pPr>
      <w:r>
        <w:t>Risk assessment tools: a Human Rights Risk Assessment for internal operations and a Supplier Risk Assessment Tool for tier 1 suppliers.</w:t>
      </w:r>
    </w:p>
    <w:p w14:paraId="57E09253" w14:textId="77777777" w:rsidR="00CA66EE" w:rsidRDefault="00B579C8">
      <w:pPr>
        <w:pStyle w:val="ListParagraph"/>
        <w:numPr>
          <w:ilvl w:val="0"/>
          <w:numId w:val="2"/>
        </w:numPr>
      </w:pPr>
      <w:r>
        <w:t>A Supplier Questionnaire used to collect human rights and material origin information from tier 1 suppliers.</w:t>
      </w:r>
    </w:p>
    <w:p w14:paraId="5D5A6A52" w14:textId="760A03F5" w:rsidR="00CA66EE" w:rsidRDefault="00B579C8">
      <w:pPr>
        <w:pStyle w:val="ListParagraph"/>
        <w:numPr>
          <w:ilvl w:val="0"/>
          <w:numId w:val="2"/>
        </w:numPr>
      </w:pPr>
      <w:r>
        <w:t>An accessible and confidential grievance mechanism for employees, contractors, suppliers and external stakeholders</w:t>
      </w:r>
      <w:r w:rsidR="00033099">
        <w:t xml:space="preserve"> (</w:t>
      </w:r>
      <w:r w:rsidR="00033099" w:rsidRPr="00033099">
        <w:rPr>
          <w:i/>
          <w:iCs/>
        </w:rPr>
        <w:t>see the Responsible Business Practices Policy on our website</w:t>
      </w:r>
      <w:r w:rsidR="00033099">
        <w:t>).</w:t>
      </w:r>
    </w:p>
    <w:p w14:paraId="70ADA267" w14:textId="36F93B38" w:rsidR="00CA66EE" w:rsidRDefault="00B579C8">
      <w:pPr>
        <w:pStyle w:val="ListParagraph"/>
        <w:numPr>
          <w:ilvl w:val="0"/>
          <w:numId w:val="2"/>
        </w:numPr>
      </w:pPr>
      <w:r>
        <w:t>Staff training</w:t>
      </w:r>
      <w:r w:rsidR="00033099">
        <w:t>.</w:t>
      </w:r>
    </w:p>
    <w:p w14:paraId="503C48B8" w14:textId="56A474D5" w:rsidR="00CA66EE" w:rsidRDefault="00B579C8">
      <w:pPr>
        <w:pStyle w:val="Heading1"/>
        <w:pBdr>
          <w:bottom w:val="single" w:sz="6" w:space="4" w:color="000000"/>
        </w:pBdr>
      </w:pPr>
      <w:r>
        <w:t>3. Internal Human Rights Due Diligenc</w:t>
      </w:r>
      <w:r w:rsidR="00033099">
        <w:t>e</w:t>
      </w:r>
    </w:p>
    <w:p w14:paraId="33BEAC10" w14:textId="77777777" w:rsidR="00CA66EE" w:rsidRDefault="00B579C8">
      <w:pPr>
        <w:pStyle w:val="Heading2"/>
      </w:pPr>
      <w:r>
        <w:t>3.1 Process</w:t>
      </w:r>
    </w:p>
    <w:p w14:paraId="34DBA6E6" w14:textId="41E6AA2F" w:rsidR="00CA66EE" w:rsidRDefault="00B579C8">
      <w:r>
        <w:t xml:space="preserve">An annual internal human rights due diligence (HRDD) assessment is conducted, applying the UN Guiding Principles on Business and Human Rights (UNGPs) and ILO core conventions as the baseline framework. The assessment covers both operational sites and follows a four-step process: (1) information gathering from HR, health and safety, grievance and workplace observation sources; (2) risk identification and rating using the Human Rights Risk Assessment Tool, covering forced </w:t>
      </w:r>
      <w:proofErr w:type="spellStart"/>
      <w:r>
        <w:t>labour</w:t>
      </w:r>
      <w:proofErr w:type="spellEnd"/>
      <w:r>
        <w:t xml:space="preserve">, child </w:t>
      </w:r>
      <w:proofErr w:type="spellStart"/>
      <w:r>
        <w:t>labour</w:t>
      </w:r>
      <w:proofErr w:type="spellEnd"/>
      <w:r>
        <w:t>, discrimination, freedom of association, working conditions, community rights and grievance mechanisms; (3) response and remediation; and (4) external reporting.</w:t>
      </w:r>
    </w:p>
    <w:p w14:paraId="699E8B29" w14:textId="77777777" w:rsidR="00CA66EE" w:rsidRDefault="00B579C8">
      <w:pPr>
        <w:pStyle w:val="Heading2"/>
      </w:pPr>
      <w:r>
        <w:t>3.2 Findings</w:t>
      </w:r>
    </w:p>
    <w:p w14:paraId="024D9A49" w14:textId="2A427C81" w:rsidR="00CA66EE" w:rsidRDefault="00B579C8">
      <w:r>
        <w:t>The 2026 assessment did not identify any confirmed adverse human rights impacts in the Company’s own operations. Existing controls were found to be sufficient to manage identified risks across all assessed topics</w:t>
      </w:r>
      <w:r w:rsidR="00033099">
        <w:t>.</w:t>
      </w:r>
    </w:p>
    <w:p w14:paraId="762495B1" w14:textId="77777777" w:rsidR="00CA66EE" w:rsidRDefault="00B579C8">
      <w:r>
        <w:t>No human rights grievances were received from employees or external stakeholders during the reporting period. The Company’s grievance mechanism remains active and accessible to all relevant stakeholders.</w:t>
      </w:r>
    </w:p>
    <w:p w14:paraId="748FA9D3" w14:textId="52F4516D" w:rsidR="00CA66EE" w:rsidRDefault="00B579C8">
      <w:pPr>
        <w:pStyle w:val="Heading1"/>
        <w:pBdr>
          <w:bottom w:val="single" w:sz="6" w:space="4" w:color="000000"/>
        </w:pBdr>
      </w:pPr>
      <w:r>
        <w:t>4. Supply Chain Due Diligence</w:t>
      </w:r>
    </w:p>
    <w:p w14:paraId="4673049B" w14:textId="77777777" w:rsidR="00CA66EE" w:rsidRDefault="00B579C8">
      <w:pPr>
        <w:pStyle w:val="Heading2"/>
      </w:pPr>
      <w:r>
        <w:t>4.1 Process Overview</w:t>
      </w:r>
    </w:p>
    <w:p w14:paraId="45847903" w14:textId="7454B366" w:rsidR="00CA66EE" w:rsidRDefault="00B579C8">
      <w:r>
        <w:t xml:space="preserve">Supply chain due diligence is conducted in accordance with </w:t>
      </w:r>
      <w:r w:rsidR="00033099">
        <w:t>Company’s due diligence</w:t>
      </w:r>
      <w:r>
        <w:t xml:space="preserve"> procedure and the OECD Due Diligence Guidance for Responsible Supply Chains of Minerals from Conflict-Affected and High-Risk Areas (OECD Guidance). The process runs across two parallel workstreams: Workstream A (supplier-level human rights risks) and Workstream B (material origin and CAHRA risk).</w:t>
      </w:r>
    </w:p>
    <w:p w14:paraId="0623459B" w14:textId="0C69C2DD" w:rsidR="00CA66EE" w:rsidRDefault="00B579C8">
      <w:r>
        <w:t xml:space="preserve">The Company’s Supplier Questionnaire is distributed to all tier 1 direct suppliers of in-scope </w:t>
      </w:r>
      <w:r w:rsidR="00033099">
        <w:t>jewelry</w:t>
      </w:r>
      <w:r>
        <w:t xml:space="preserve"> materials. Responses are reviewed against OECD red flag indicators and </w:t>
      </w:r>
      <w:proofErr w:type="gramStart"/>
      <w:r>
        <w:t>entered into</w:t>
      </w:r>
      <w:proofErr w:type="gramEnd"/>
      <w:r>
        <w:t xml:space="preserve"> the Supplier Risk Assessment Tool, generating ratings across three dimensions: AML and financial crime risk; </w:t>
      </w:r>
      <w:proofErr w:type="spellStart"/>
      <w:r>
        <w:t>labour</w:t>
      </w:r>
      <w:proofErr w:type="spellEnd"/>
      <w:r>
        <w:t xml:space="preserve"> practices risk; and supply chain due diligence risk. CAHRA screening is carried out by comparing reported countries of origin against the Company’s CAHRA Risk Index.</w:t>
      </w:r>
    </w:p>
    <w:p w14:paraId="1231F2CD" w14:textId="77777777" w:rsidR="00CA66EE" w:rsidRDefault="00B579C8">
      <w:pPr>
        <w:pStyle w:val="Heading2"/>
      </w:pPr>
      <w:r>
        <w:t>4.2 Risk Assessment Outcomes</w:t>
      </w:r>
    </w:p>
    <w:p w14:paraId="213C4B63" w14:textId="56810E34" w:rsidR="00CA66EE" w:rsidRDefault="00B579C8">
      <w:r>
        <w:t xml:space="preserve">The 2026 supplier due diligence exercise is substantially </w:t>
      </w:r>
      <w:r w:rsidR="00076B82">
        <w:t>completed</w:t>
      </w:r>
      <w:r>
        <w:t xml:space="preserve">. No </w:t>
      </w:r>
      <w:proofErr w:type="spellStart"/>
      <w:r>
        <w:t>labour</w:t>
      </w:r>
      <w:proofErr w:type="spellEnd"/>
      <w:r>
        <w:t xml:space="preserve"> practice risks and no AML risks have been identified across any supplier assessed to date.</w:t>
      </w:r>
    </w:p>
    <w:p w14:paraId="2124CF30" w14:textId="4C675ED9" w:rsidR="00CA66EE" w:rsidRDefault="00B579C8">
      <w:r>
        <w:t>For a subset of suppliers, follow-up is ongoing: certain suppliers have not yet provided</w:t>
      </w:r>
      <w:r w:rsidR="00076B82">
        <w:t xml:space="preserve"> </w:t>
      </w:r>
      <w:r>
        <w:t>the identity of precious metal refiners in their supply chain, and others have not provided complete country-of-origin information for natural gemstones and/or laboratory-grown materials. The</w:t>
      </w:r>
      <w:r w:rsidR="00076B82">
        <w:t xml:space="preserve"> </w:t>
      </w:r>
      <w:r>
        <w:t xml:space="preserve">Company is actively pursuing </w:t>
      </w:r>
      <w:proofErr w:type="gramStart"/>
      <w:r>
        <w:t>the outstanding</w:t>
      </w:r>
      <w:proofErr w:type="gramEnd"/>
      <w:r>
        <w:t xml:space="preserve"> information</w:t>
      </w:r>
      <w:r w:rsidR="00076B82">
        <w:t xml:space="preserve"> and a small number of supplier questionnaires.</w:t>
      </w:r>
      <w:r>
        <w:t xml:space="preserve"> The supply chain due diligence process will be updated as responses are received.</w:t>
      </w:r>
    </w:p>
    <w:p w14:paraId="1C2D1D16" w14:textId="77777777" w:rsidR="00CA66EE" w:rsidRDefault="00B579C8">
      <w:pPr>
        <w:pStyle w:val="Heading2"/>
      </w:pPr>
      <w:r>
        <w:t>4.3 CAHRA Identification and Enhanced Due Diligence</w:t>
      </w:r>
    </w:p>
    <w:p w14:paraId="09C194C3" w14:textId="5F6D92DF" w:rsidR="00CA66EE" w:rsidRDefault="00033099">
      <w:r>
        <w:t>No Conflict-Affected and High-Risk Areas (CAHRAs) have so far been identified based on our 2026 supply chain risk assessment, and no confirmed adverse impacts have been identified in connection with this sourcing at this stage.</w:t>
      </w:r>
    </w:p>
    <w:p w14:paraId="2F2D212A" w14:textId="26DFD207" w:rsidR="00CA66EE" w:rsidRDefault="00B579C8" w:rsidP="00033099">
      <w:r>
        <w:t xml:space="preserve">In accordance with the Company’s procedure and the OECD Guidance, enhanced due diligence </w:t>
      </w:r>
      <w:r w:rsidR="00033099">
        <w:t xml:space="preserve">will be initiated should any CAHRAs or other OECD </w:t>
      </w:r>
      <w:proofErr w:type="gramStart"/>
      <w:r w:rsidR="00033099">
        <w:t>red-flags</w:t>
      </w:r>
      <w:proofErr w:type="gramEnd"/>
      <w:r w:rsidR="00033099">
        <w:t xml:space="preserve"> be identified in our supply chain.</w:t>
      </w:r>
    </w:p>
    <w:p w14:paraId="715E0732" w14:textId="77777777" w:rsidR="00CA66EE" w:rsidRDefault="00B579C8">
      <w:pPr>
        <w:pStyle w:val="Heading1"/>
        <w:pBdr>
          <w:bottom w:val="single" w:sz="6" w:space="4" w:color="000000"/>
        </w:pBdr>
      </w:pPr>
      <w:r>
        <w:t>5. Legal Proceedings</w:t>
      </w:r>
    </w:p>
    <w:p w14:paraId="4619740B" w14:textId="50654398" w:rsidR="00CA66EE" w:rsidRDefault="00B579C8" w:rsidP="00033099">
      <w:r>
        <w:t>No fines, judgements, penalties or non-monetary sanctions for failure to comply with applicable law in connection with matters covered by the RJC Code of Practices or the Laboratory Grown Materials Standard were incurred by the Company during the 2026 reporting period.</w:t>
      </w:r>
    </w:p>
    <w:p w14:paraId="6233DDD4" w14:textId="77777777" w:rsidR="00583AB2" w:rsidRDefault="00B579C8">
      <w:r>
        <w:t xml:space="preserve">For queries regarding this report, please contact: </w:t>
      </w:r>
    </w:p>
    <w:p w14:paraId="4B128616" w14:textId="77777777" w:rsidR="00583AB2" w:rsidRDefault="00583AB2" w:rsidP="00583AB2">
      <w:pPr>
        <w:spacing w:after="0"/>
      </w:pPr>
      <w:r>
        <w:t>Brad Malmsten</w:t>
      </w:r>
    </w:p>
    <w:p w14:paraId="578D385C" w14:textId="76508366" w:rsidR="00583AB2" w:rsidRDefault="00583AB2" w:rsidP="00583AB2">
      <w:pPr>
        <w:spacing w:after="0"/>
      </w:pPr>
      <w:hyperlink r:id="rId8" w:history="1">
        <w:r w:rsidRPr="00143595">
          <w:rPr>
            <w:rStyle w:val="Hyperlink"/>
          </w:rPr>
          <w:t>brad.malmsten@ostbye.com</w:t>
        </w:r>
      </w:hyperlink>
    </w:p>
    <w:p w14:paraId="712E9EB4" w14:textId="26BA63A3" w:rsidR="00033099" w:rsidRDefault="00583AB2" w:rsidP="00583AB2">
      <w:pPr>
        <w:spacing w:after="0"/>
      </w:pPr>
      <w:r>
        <w:t>866-553-1515</w:t>
      </w:r>
    </w:p>
    <w:p w14:paraId="6AFFC2FC" w14:textId="77777777" w:rsidR="00033099" w:rsidRDefault="00033099"/>
    <w:p w14:paraId="121E5920" w14:textId="1E55883E" w:rsidR="00033099" w:rsidRPr="00033099" w:rsidRDefault="00033099">
      <w:pPr>
        <w:rPr>
          <w:b/>
          <w:bCs/>
        </w:rPr>
      </w:pPr>
      <w:r w:rsidRPr="00033099">
        <w:rPr>
          <w:b/>
          <w:bCs/>
        </w:rPr>
        <w:t>This report is approved by:</w:t>
      </w:r>
    </w:p>
    <w:p w14:paraId="3BCB33F1" w14:textId="6EFF2AC3" w:rsidR="00033099" w:rsidRDefault="00033099">
      <w:r>
        <w:t xml:space="preserve">Name: </w:t>
      </w:r>
      <w:r w:rsidR="00583AB2">
        <w:t>Craig MacBean</w:t>
      </w:r>
    </w:p>
    <w:p w14:paraId="7192B384" w14:textId="573934F9" w:rsidR="00033099" w:rsidRDefault="00033099">
      <w:r>
        <w:t xml:space="preserve">Position: </w:t>
      </w:r>
      <w:r w:rsidR="00583AB2">
        <w:t>President</w:t>
      </w:r>
    </w:p>
    <w:p w14:paraId="588F0AA2" w14:textId="77777777" w:rsidR="00033099" w:rsidRDefault="00033099"/>
    <w:sectPr w:rsidR="00033099">
      <w:footerReference w:type="default" r:id="rId9"/>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0329C" w14:textId="77777777" w:rsidR="00B579C8" w:rsidRDefault="00B579C8">
      <w:pPr>
        <w:spacing w:after="0" w:line="240" w:lineRule="auto"/>
      </w:pPr>
      <w:r>
        <w:separator/>
      </w:r>
    </w:p>
  </w:endnote>
  <w:endnote w:type="continuationSeparator" w:id="0">
    <w:p w14:paraId="38F225A3" w14:textId="77777777" w:rsidR="00B579C8" w:rsidRDefault="00B579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ABF7E" w14:textId="77777777" w:rsidR="00CA66EE" w:rsidRDefault="00B579C8">
    <w:pPr>
      <w:spacing w:after="0"/>
      <w:jc w:val="center"/>
    </w:pPr>
    <w:r>
      <w:rPr>
        <w:color w:val="444444"/>
        <w:sz w:val="18"/>
        <w:szCs w:val="18"/>
      </w:rPr>
      <w:fldChar w:fldCharType="begin"/>
    </w:r>
    <w:r>
      <w:rPr>
        <w:color w:val="444444"/>
        <w:sz w:val="18"/>
        <w:szCs w:val="18"/>
      </w:rPr>
      <w:instrText>PAGE</w:instrText>
    </w:r>
    <w:r>
      <w:rPr>
        <w:color w:val="444444"/>
        <w:sz w:val="18"/>
        <w:szCs w:val="18"/>
      </w:rPr>
      <w:fldChar w:fldCharType="separate"/>
    </w:r>
    <w:r w:rsidR="00890A37">
      <w:rPr>
        <w:noProof/>
        <w:color w:val="444444"/>
        <w:sz w:val="18"/>
        <w:szCs w:val="18"/>
      </w:rPr>
      <w:t>1</w:t>
    </w:r>
    <w:r>
      <w:rPr>
        <w:color w:val="444444"/>
        <w:sz w:val="18"/>
        <w:szCs w:val="18"/>
      </w:rPr>
      <w:fldChar w:fldCharType="end"/>
    </w:r>
    <w:r>
      <w:rPr>
        <w:color w:val="444444"/>
        <w:sz w:val="18"/>
        <w:szCs w:val="18"/>
      </w:rPr>
      <w:t xml:space="preserve"> / </w:t>
    </w:r>
    <w:r>
      <w:rPr>
        <w:color w:val="444444"/>
        <w:sz w:val="18"/>
        <w:szCs w:val="18"/>
      </w:rPr>
      <w:fldChar w:fldCharType="begin"/>
    </w:r>
    <w:r>
      <w:rPr>
        <w:color w:val="444444"/>
        <w:sz w:val="18"/>
        <w:szCs w:val="18"/>
      </w:rPr>
      <w:instrText>NUMPAGES</w:instrText>
    </w:r>
    <w:r>
      <w:rPr>
        <w:color w:val="444444"/>
        <w:sz w:val="18"/>
        <w:szCs w:val="18"/>
      </w:rPr>
      <w:fldChar w:fldCharType="separate"/>
    </w:r>
    <w:r w:rsidR="00890A37">
      <w:rPr>
        <w:noProof/>
        <w:color w:val="444444"/>
        <w:sz w:val="18"/>
        <w:szCs w:val="18"/>
      </w:rPr>
      <w:t>2</w:t>
    </w:r>
    <w:r>
      <w:rPr>
        <w:color w:val="444444"/>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FBAAA" w14:textId="77777777" w:rsidR="00B579C8" w:rsidRDefault="00B579C8">
      <w:pPr>
        <w:spacing w:after="0" w:line="240" w:lineRule="auto"/>
      </w:pPr>
      <w:r>
        <w:separator/>
      </w:r>
    </w:p>
  </w:footnote>
  <w:footnote w:type="continuationSeparator" w:id="0">
    <w:p w14:paraId="3BF4F888" w14:textId="77777777" w:rsidR="00B579C8" w:rsidRDefault="00B579C8">
      <w:pPr>
        <w:spacing w:after="0" w:line="240" w:lineRule="auto"/>
      </w:pPr>
      <w:r>
        <w:continuationSeparator/>
      </w:r>
    </w:p>
  </w:footnote>
  <w:footnote w:id="1">
    <w:p w14:paraId="5E8141B5" w14:textId="63ABACE1" w:rsidR="00890A37" w:rsidRPr="00890A37" w:rsidRDefault="00890A37">
      <w:pPr>
        <w:pStyle w:val="FootnoteText"/>
        <w:rPr>
          <w:lang w:val="en-GB"/>
        </w:rPr>
      </w:pPr>
      <w:r w:rsidRPr="00890A37">
        <w:rPr>
          <w:rStyle w:val="FootnoteReference"/>
          <w:sz w:val="16"/>
          <w:szCs w:val="16"/>
        </w:rPr>
        <w:footnoteRef/>
      </w:r>
      <w:r w:rsidRPr="00890A37">
        <w:rPr>
          <w:sz w:val="16"/>
          <w:szCs w:val="16"/>
        </w:rPr>
        <w:t xml:space="preserve"> Certification against the LGMS ongoing at the time of reporting.</w:t>
      </w:r>
      <w:r>
        <w:rPr>
          <w:sz w:val="16"/>
          <w:szCs w:val="16"/>
        </w:rPr>
        <w:t xml:space="preserve"> For further information regarding out RJC membership, visit: </w:t>
      </w:r>
      <w:r w:rsidRPr="00890A37">
        <w:rPr>
          <w:sz w:val="16"/>
          <w:szCs w:val="16"/>
        </w:rPr>
        <w:t>https://www.responsiblejewellery.com/member/ostbye-anderson-inc/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F2B53"/>
    <w:multiLevelType w:val="hybridMultilevel"/>
    <w:tmpl w:val="9604C02A"/>
    <w:lvl w:ilvl="0" w:tplc="A15264AC">
      <w:start w:val="1"/>
      <w:numFmt w:val="bullet"/>
      <w:lvlText w:val="•"/>
      <w:lvlJc w:val="left"/>
      <w:pPr>
        <w:spacing w:before="0" w:after="120" w:line="264" w:lineRule="auto"/>
        <w:ind w:left="540" w:hanging="260"/>
      </w:pPr>
      <w:rPr>
        <w:rFonts w:ascii="Arial" w:eastAsia="Arial" w:hAnsi="Arial" w:cs="Arial"/>
        <w:sz w:val="20"/>
        <w:szCs w:val="20"/>
      </w:rPr>
    </w:lvl>
    <w:lvl w:ilvl="1" w:tplc="8A544A12">
      <w:numFmt w:val="decimal"/>
      <w:lvlText w:val=""/>
      <w:lvlJc w:val="left"/>
    </w:lvl>
    <w:lvl w:ilvl="2" w:tplc="E56CF6EE">
      <w:numFmt w:val="decimal"/>
      <w:lvlText w:val=""/>
      <w:lvlJc w:val="left"/>
    </w:lvl>
    <w:lvl w:ilvl="3" w:tplc="932C8214">
      <w:numFmt w:val="decimal"/>
      <w:lvlText w:val=""/>
      <w:lvlJc w:val="left"/>
    </w:lvl>
    <w:lvl w:ilvl="4" w:tplc="D71257BA">
      <w:numFmt w:val="decimal"/>
      <w:lvlText w:val=""/>
      <w:lvlJc w:val="left"/>
    </w:lvl>
    <w:lvl w:ilvl="5" w:tplc="FC30557C">
      <w:numFmt w:val="decimal"/>
      <w:lvlText w:val=""/>
      <w:lvlJc w:val="left"/>
    </w:lvl>
    <w:lvl w:ilvl="6" w:tplc="E0FCA60C">
      <w:numFmt w:val="decimal"/>
      <w:lvlText w:val=""/>
      <w:lvlJc w:val="left"/>
    </w:lvl>
    <w:lvl w:ilvl="7" w:tplc="C298F6DE">
      <w:numFmt w:val="decimal"/>
      <w:lvlText w:val=""/>
      <w:lvlJc w:val="left"/>
    </w:lvl>
    <w:lvl w:ilvl="8" w:tplc="597A0C62">
      <w:numFmt w:val="decimal"/>
      <w:lvlText w:val=""/>
      <w:lvlJc w:val="left"/>
    </w:lvl>
  </w:abstractNum>
  <w:abstractNum w:abstractNumId="1" w15:restartNumberingAfterBreak="0">
    <w:nsid w:val="577B5BB8"/>
    <w:multiLevelType w:val="hybridMultilevel"/>
    <w:tmpl w:val="CDCC8D00"/>
    <w:lvl w:ilvl="0" w:tplc="AAF4FCA4">
      <w:start w:val="1"/>
      <w:numFmt w:val="bullet"/>
      <w:lvlText w:val="●"/>
      <w:lvlJc w:val="left"/>
      <w:pPr>
        <w:ind w:left="720" w:hanging="360"/>
      </w:pPr>
    </w:lvl>
    <w:lvl w:ilvl="1" w:tplc="C180C850">
      <w:start w:val="1"/>
      <w:numFmt w:val="bullet"/>
      <w:lvlText w:val="○"/>
      <w:lvlJc w:val="left"/>
      <w:pPr>
        <w:ind w:left="1440" w:hanging="360"/>
      </w:pPr>
    </w:lvl>
    <w:lvl w:ilvl="2" w:tplc="52EC7F38">
      <w:start w:val="1"/>
      <w:numFmt w:val="bullet"/>
      <w:lvlText w:val="■"/>
      <w:lvlJc w:val="left"/>
      <w:pPr>
        <w:ind w:left="2160" w:hanging="360"/>
      </w:pPr>
    </w:lvl>
    <w:lvl w:ilvl="3" w:tplc="19DC7182">
      <w:start w:val="1"/>
      <w:numFmt w:val="bullet"/>
      <w:lvlText w:val="●"/>
      <w:lvlJc w:val="left"/>
      <w:pPr>
        <w:ind w:left="2880" w:hanging="360"/>
      </w:pPr>
    </w:lvl>
    <w:lvl w:ilvl="4" w:tplc="EFB0F572">
      <w:start w:val="1"/>
      <w:numFmt w:val="bullet"/>
      <w:lvlText w:val="○"/>
      <w:lvlJc w:val="left"/>
      <w:pPr>
        <w:ind w:left="3600" w:hanging="360"/>
      </w:pPr>
    </w:lvl>
    <w:lvl w:ilvl="5" w:tplc="ABB4CBD6">
      <w:start w:val="1"/>
      <w:numFmt w:val="bullet"/>
      <w:lvlText w:val="■"/>
      <w:lvlJc w:val="left"/>
      <w:pPr>
        <w:ind w:left="4320" w:hanging="360"/>
      </w:pPr>
    </w:lvl>
    <w:lvl w:ilvl="6" w:tplc="7B2E0D16">
      <w:start w:val="1"/>
      <w:numFmt w:val="bullet"/>
      <w:lvlText w:val="●"/>
      <w:lvlJc w:val="left"/>
      <w:pPr>
        <w:ind w:left="5040" w:hanging="360"/>
      </w:pPr>
    </w:lvl>
    <w:lvl w:ilvl="7" w:tplc="6F1E7328">
      <w:start w:val="1"/>
      <w:numFmt w:val="bullet"/>
      <w:lvlText w:val="●"/>
      <w:lvlJc w:val="left"/>
      <w:pPr>
        <w:ind w:left="5760" w:hanging="360"/>
      </w:pPr>
    </w:lvl>
    <w:lvl w:ilvl="8" w:tplc="428E9F3E">
      <w:start w:val="1"/>
      <w:numFmt w:val="bullet"/>
      <w:lvlText w:val="●"/>
      <w:lvlJc w:val="left"/>
      <w:pPr>
        <w:ind w:left="6480" w:hanging="360"/>
      </w:pPr>
    </w:lvl>
  </w:abstractNum>
  <w:num w:numId="1" w16cid:durableId="1842113860">
    <w:abstractNumId w:val="1"/>
    <w:lvlOverride w:ilvl="0">
      <w:startOverride w:val="1"/>
    </w:lvlOverride>
  </w:num>
  <w:num w:numId="2" w16cid:durableId="181524728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6EE"/>
    <w:rsid w:val="00033099"/>
    <w:rsid w:val="00076B82"/>
    <w:rsid w:val="00087E31"/>
    <w:rsid w:val="003B57C5"/>
    <w:rsid w:val="004F6332"/>
    <w:rsid w:val="00583AB2"/>
    <w:rsid w:val="00804A07"/>
    <w:rsid w:val="00883AE6"/>
    <w:rsid w:val="00890A37"/>
    <w:rsid w:val="009D2BD1"/>
    <w:rsid w:val="00B579C8"/>
    <w:rsid w:val="00CA66EE"/>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F5ECA"/>
  <w15:docId w15:val="{EE5DF980-7B34-411D-86F2-E7EC5EB78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pacing w:val="8"/>
        <w:lang w:val="en-US" w:eastAsia="en-US"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64" w:lineRule="auto"/>
    </w:pPr>
  </w:style>
  <w:style w:type="paragraph" w:styleId="Heading1">
    <w:name w:val="heading 1"/>
    <w:basedOn w:val="Normal"/>
    <w:next w:val="Normal"/>
    <w:uiPriority w:val="9"/>
    <w:qFormat/>
    <w:pPr>
      <w:spacing w:before="300" w:after="100"/>
      <w:outlineLvl w:val="0"/>
    </w:pPr>
    <w:rPr>
      <w:b/>
      <w:bCs/>
      <w:sz w:val="24"/>
      <w:szCs w:val="24"/>
    </w:rPr>
  </w:style>
  <w:style w:type="paragraph" w:styleId="Heading2">
    <w:name w:val="heading 2"/>
    <w:basedOn w:val="Normal"/>
    <w:next w:val="Normal"/>
    <w:uiPriority w:val="9"/>
    <w:unhideWhenUsed/>
    <w:qFormat/>
    <w:pPr>
      <w:spacing w:before="220" w:after="100"/>
      <w:outlineLvl w:val="1"/>
    </w:pPr>
    <w:rPr>
      <w:b/>
      <w:bCs/>
      <w:sz w:val="22"/>
      <w:szCs w:val="22"/>
    </w:rPr>
  </w:style>
  <w:style w:type="paragraph" w:styleId="Heading3">
    <w:name w:val="heading 3"/>
    <w:basedOn w:val="Normal"/>
    <w:next w:val="Normal"/>
    <w:uiPriority w:val="9"/>
    <w:semiHidden/>
    <w:unhideWhenUsed/>
    <w:qFormat/>
    <w:pPr>
      <w:outlineLvl w:val="2"/>
    </w:pPr>
    <w:rPr>
      <w:color w:val="1F4D78"/>
      <w:sz w:val="24"/>
      <w:szCs w:val="24"/>
    </w:rPr>
  </w:style>
  <w:style w:type="paragraph" w:styleId="Heading4">
    <w:name w:val="heading 4"/>
    <w:basedOn w:val="Normal"/>
    <w:next w:val="Normal"/>
    <w:uiPriority w:val="9"/>
    <w:semiHidden/>
    <w:unhideWhenUsed/>
    <w:qFormat/>
    <w:pPr>
      <w:outlineLvl w:val="3"/>
    </w:pPr>
    <w:rPr>
      <w:i/>
      <w:iCs/>
      <w:color w:val="2E74B5"/>
    </w:rPr>
  </w:style>
  <w:style w:type="paragraph" w:styleId="Heading5">
    <w:name w:val="heading 5"/>
    <w:basedOn w:val="Normal"/>
    <w:next w:val="Normal"/>
    <w:uiPriority w:val="9"/>
    <w:semiHidden/>
    <w:unhideWhenUsed/>
    <w:qFormat/>
    <w:pPr>
      <w:outlineLvl w:val="4"/>
    </w:pPr>
    <w:rPr>
      <w:color w:val="2E74B5"/>
    </w:rPr>
  </w:style>
  <w:style w:type="paragraph" w:styleId="Heading6">
    <w:name w:val="heading 6"/>
    <w:basedOn w:val="Normal"/>
    <w:next w:val="Normal"/>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Pr>
      <w:sz w:val="56"/>
      <w:szCs w:val="56"/>
    </w:rPr>
  </w:style>
  <w:style w:type="paragraph" w:customStyle="1" w:styleId="Strong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583A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brad.malmsten@ostbye.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B34DB-1024-49C2-919E-E295C977C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831</Words>
  <Characters>4965</Characters>
  <Application>Microsoft Office Word</Application>
  <DocSecurity>0</DocSecurity>
  <Lines>93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Andrew Cooper</cp:lastModifiedBy>
  <cp:revision>3</cp:revision>
  <dcterms:created xsi:type="dcterms:W3CDTF">2026-06-11T12:14:00Z</dcterms:created>
  <dcterms:modified xsi:type="dcterms:W3CDTF">2026-08-13T09:20:00Z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024c15c9-b9dc-4e3e-840f-a06da4e47f54</vt:lpwstr>
  </property>
</Properties>
</file>